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  <w:p w:rsidR="00750EF5" w:rsidRPr="00750EF5" w:rsidRDefault="00750EF5" w:rsidP="00E9077E">
            <w:pPr>
              <w:contextualSpacing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Sog. MSA-Inhalte: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  <w:r w:rsidR="00750EF5" w:rsidRPr="00750EF5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750EF5" w:rsidRPr="00750EF5">
              <w:rPr>
                <w:rFonts w:ascii="Comic Sans MS" w:hAnsi="Comic Sans MS" w:cs="Times New Roman"/>
                <w:sz w:val="18"/>
                <w:szCs w:val="18"/>
              </w:rPr>
              <w:t>Im Hinblick auf Stoffinhalte für  Kla</w:t>
            </w:r>
            <w:r w:rsidR="00750EF5" w:rsidRPr="00750EF5">
              <w:rPr>
                <w:rFonts w:ascii="Comic Sans MS" w:hAnsi="Comic Sans MS" w:cs="Times New Roman"/>
                <w:sz w:val="18"/>
                <w:szCs w:val="18"/>
              </w:rPr>
              <w:t>s</w:t>
            </w:r>
            <w:r w:rsidR="00750EF5" w:rsidRPr="00750EF5">
              <w:rPr>
                <w:rFonts w:ascii="Comic Sans MS" w:hAnsi="Comic Sans MS" w:cs="Times New Roman"/>
                <w:sz w:val="18"/>
                <w:szCs w:val="18"/>
              </w:rPr>
              <w:t>se 10, die in Klasse 9 hätten erledigt werden sollen:</w:t>
            </w:r>
          </w:p>
        </w:tc>
      </w:tr>
      <w:tr w:rsidR="00750EF5" w:rsidTr="00750EF5">
        <w:trPr>
          <w:trHeight w:hRule="exact" w:val="786"/>
        </w:trPr>
        <w:tc>
          <w:tcPr>
            <w:tcW w:w="1129" w:type="dxa"/>
          </w:tcPr>
          <w:p w:rsidR="00750EF5" w:rsidRDefault="00750EF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9a</w:t>
            </w:r>
          </w:p>
        </w:tc>
        <w:tc>
          <w:tcPr>
            <w:tcW w:w="993" w:type="dxa"/>
          </w:tcPr>
          <w:p w:rsidR="00750EF5" w:rsidRDefault="00750EF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</w:t>
            </w:r>
          </w:p>
        </w:tc>
        <w:tc>
          <w:tcPr>
            <w:tcW w:w="3402" w:type="dxa"/>
          </w:tcPr>
          <w:p w:rsidR="00750EF5" w:rsidRPr="00750EF5" w:rsidRDefault="00750EF5" w:rsidP="00712C9A">
            <w:pPr>
              <w:contextualSpacing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D</w:t>
            </w:r>
            <w:r w:rsidRPr="00E91D89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ie Lösungen einer </w:t>
            </w:r>
            <w:r w:rsidRPr="00E91D8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DE"/>
              </w:rPr>
              <w:t>quadratischen Gleichung</w:t>
            </w:r>
            <w:r w:rsidRPr="00E91D89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mithilfe einer Formel b</w:t>
            </w:r>
            <w:r w:rsidRPr="00E91D89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e</w:t>
            </w:r>
            <w:r w:rsidRPr="00E91D89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stimmen</w:t>
            </w:r>
          </w:p>
        </w:tc>
        <w:tc>
          <w:tcPr>
            <w:tcW w:w="3536" w:type="dxa"/>
          </w:tcPr>
          <w:p w:rsidR="00750EF5" w:rsidRDefault="00750EF5" w:rsidP="007D3F4F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E</w:t>
            </w:r>
            <w:r w:rsidRPr="00E91D89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ine Tabellenkalkulation verwenden, um Zinssatz, Tilgung/Sparrate und Laufzeit näherungsweise zu bestimmen</w:t>
            </w:r>
          </w:p>
        </w:tc>
      </w:tr>
      <w:tr w:rsidR="00750EF5" w:rsidTr="00CA254B">
        <w:trPr>
          <w:trHeight w:hRule="exact" w:val="1258"/>
        </w:trPr>
        <w:tc>
          <w:tcPr>
            <w:tcW w:w="1129" w:type="dxa"/>
          </w:tcPr>
          <w:p w:rsidR="00750EF5" w:rsidRDefault="00750EF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750EF5" w:rsidRDefault="00750EF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750EF5" w:rsidRDefault="00CA254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E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ine </w:t>
            </w:r>
            <w:r w:rsidRPr="00CA254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DE"/>
              </w:rPr>
              <w:t>Gerade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mit der </w:t>
            </w:r>
            <w:r w:rsidRPr="00CA254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DE"/>
              </w:rPr>
              <w:t>Gleichung y=</w:t>
            </w:r>
            <w:proofErr w:type="spellStart"/>
            <w:r w:rsidRPr="00CA254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DE"/>
              </w:rPr>
              <w:t>mx+c</w:t>
            </w:r>
            <w:proofErr w:type="spellEnd"/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 u. a. unter Verwendung von </w:t>
            </w:r>
            <w:r w:rsidRPr="00CA254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DE"/>
              </w:rPr>
              <w:t>Steigung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und </w:t>
            </w:r>
            <w:r w:rsidRPr="00CA254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DE"/>
              </w:rPr>
              <w:t>Steigungsdreiecken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zeichnen und einer </w:t>
            </w:r>
            <w:r w:rsidRPr="00CA254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DE"/>
              </w:rPr>
              <w:t>Geraden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eine </w:t>
            </w:r>
            <w:r w:rsidRPr="00CA254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DE"/>
              </w:rPr>
              <w:t>Gleichung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zuor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d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nen</w:t>
            </w:r>
          </w:p>
        </w:tc>
        <w:tc>
          <w:tcPr>
            <w:tcW w:w="3536" w:type="dxa"/>
          </w:tcPr>
          <w:p w:rsidR="00750EF5" w:rsidRDefault="00750EF5" w:rsidP="007D3F4F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 w:rsidRPr="00E91D89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Klammern zum Aufstellen und zur Gli</w:t>
            </w:r>
            <w:r w:rsidRPr="00E91D89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e</w:t>
            </w:r>
            <w:r w:rsidRPr="00E91D89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derung von </w:t>
            </w:r>
            <w:r w:rsidRPr="00E91D89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Termen</w:t>
            </w:r>
            <w:r w:rsidRPr="00E91D89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verwenden (Hinte</w:t>
            </w:r>
            <w:r w:rsidRPr="00E91D89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r</w:t>
            </w:r>
            <w:r w:rsidRPr="00E91D89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grund: Assoziativgesetz)</w:t>
            </w:r>
          </w:p>
        </w:tc>
      </w:tr>
      <w:tr w:rsidR="00750EF5" w:rsidTr="00E91D89">
        <w:trPr>
          <w:trHeight w:hRule="exact" w:val="852"/>
        </w:trPr>
        <w:tc>
          <w:tcPr>
            <w:tcW w:w="1129" w:type="dxa"/>
          </w:tcPr>
          <w:p w:rsidR="00750EF5" w:rsidRDefault="00750EF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750EF5" w:rsidRDefault="00750EF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750EF5" w:rsidRPr="00F777B0" w:rsidRDefault="00F777B0" w:rsidP="00E9077E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F777B0">
              <w:rPr>
                <w:rFonts w:cstheme="minorHAnsi"/>
                <w:sz w:val="20"/>
                <w:szCs w:val="20"/>
              </w:rPr>
              <w:t>Zweistufige Zufallsexperimente ohne zurücklegen, Darstellung mittels Baumdiagramm</w:t>
            </w:r>
          </w:p>
        </w:tc>
        <w:tc>
          <w:tcPr>
            <w:tcW w:w="3536" w:type="dxa"/>
          </w:tcPr>
          <w:p w:rsidR="00750EF5" w:rsidRDefault="00750EF5" w:rsidP="007D3F4F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 w:rsidRPr="00E91D89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D</w:t>
            </w:r>
            <w:r w:rsidRPr="00E91D89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ie Lösung eines </w:t>
            </w:r>
            <w:r w:rsidRPr="00E91D89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linearen</w:t>
            </w:r>
            <w:r w:rsidRPr="00E91D8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E91D89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Gleichung</w:t>
            </w:r>
            <w:r w:rsidRPr="00E91D89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s</w:t>
            </w:r>
            <w:r w:rsidRPr="00E91D89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systems</w:t>
            </w:r>
            <w:r w:rsidRPr="00E91D89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mit zwei Variablen mithilfe des Einsetzungsverfahrens bestimmen</w:t>
            </w:r>
          </w:p>
        </w:tc>
      </w:tr>
      <w:tr w:rsidR="00750EF5" w:rsidTr="00750EF5">
        <w:trPr>
          <w:trHeight w:hRule="exact" w:val="814"/>
        </w:trPr>
        <w:tc>
          <w:tcPr>
            <w:tcW w:w="1129" w:type="dxa"/>
          </w:tcPr>
          <w:p w:rsidR="00750EF5" w:rsidRDefault="00750EF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750EF5" w:rsidRDefault="00750EF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750EF5" w:rsidRDefault="00750EF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750EF5" w:rsidRPr="00E91D89" w:rsidRDefault="00750EF5" w:rsidP="007D3F4F">
            <w:pPr>
              <w:contextualSpacing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E</w:t>
            </w:r>
            <w:r w:rsidRPr="00750EF5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infache Verhältnisgleichungen lösen, bei denen die einmalige </w:t>
            </w:r>
            <w:r w:rsidRPr="00750EF5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Multiplikation</w:t>
            </w:r>
            <w:r w:rsidRPr="00750EF5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mit einer </w:t>
            </w:r>
            <w:r w:rsidRPr="00750EF5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DE"/>
              </w:rPr>
              <w:t>Variablen</w:t>
            </w:r>
            <w:r w:rsidRPr="00750EF5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zielführend ist</w:t>
            </w:r>
          </w:p>
        </w:tc>
      </w:tr>
      <w:tr w:rsidR="00750EF5" w:rsidTr="00750EF5">
        <w:trPr>
          <w:trHeight w:hRule="exact" w:val="995"/>
        </w:trPr>
        <w:tc>
          <w:tcPr>
            <w:tcW w:w="1129" w:type="dxa"/>
          </w:tcPr>
          <w:p w:rsidR="00750EF5" w:rsidRDefault="00750EF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750EF5" w:rsidRDefault="00750EF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750EF5" w:rsidRDefault="00750EF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750EF5" w:rsidRPr="00E91D89" w:rsidRDefault="00750EF5" w:rsidP="00E9077E">
            <w:pPr>
              <w:contextualSpacing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</w:pPr>
            <w:r w:rsidRPr="00750EF5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die Lösbarkeit und Lösungsvielfalt von linearen und </w:t>
            </w:r>
            <w:r w:rsidRPr="00750EF5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quadratischen</w:t>
            </w:r>
            <w:r w:rsidRPr="00750EF5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750EF5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Gleichu</w:t>
            </w:r>
            <w:r w:rsidRPr="00750EF5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n</w:t>
            </w:r>
            <w:r w:rsidRPr="00750EF5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gen</w:t>
            </w:r>
            <w:r w:rsidRPr="00750EF5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sowie </w:t>
            </w:r>
            <w:r w:rsidRPr="00750EF5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linearen</w:t>
            </w:r>
            <w:r w:rsidRPr="00750EF5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750EF5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Gleichungssystemen</w:t>
            </w:r>
            <w:r w:rsidRPr="00750EF5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untersuchen</w:t>
            </w:r>
          </w:p>
        </w:tc>
      </w:tr>
      <w:tr w:rsidR="00750EF5" w:rsidTr="00E86E6C">
        <w:trPr>
          <w:trHeight w:hRule="exact" w:val="584"/>
        </w:trPr>
        <w:tc>
          <w:tcPr>
            <w:tcW w:w="1129" w:type="dxa"/>
          </w:tcPr>
          <w:p w:rsidR="00750EF5" w:rsidRDefault="00750EF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750EF5" w:rsidRDefault="00750EF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750EF5" w:rsidRDefault="00750EF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750EF5" w:rsidRDefault="00E86E6C" w:rsidP="00E86E6C">
            <w:pPr>
              <w:contextualSpacing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D</w:t>
            </w:r>
            <w:r w:rsidRPr="00E86E6C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ie </w:t>
            </w:r>
            <w:r w:rsidRPr="00E86E6C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Länge</w:t>
            </w:r>
            <w:r w:rsidRPr="00E86E6C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von </w:t>
            </w:r>
            <w:r w:rsidRPr="00E86E6C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Kreisbögen</w:t>
            </w:r>
            <w:r w:rsidRPr="00E86E6C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mithilfe von Proportionalität bestimmen</w:t>
            </w:r>
          </w:p>
        </w:tc>
      </w:tr>
      <w:tr w:rsidR="00E86E6C" w:rsidTr="00E86E6C">
        <w:trPr>
          <w:trHeight w:hRule="exact" w:val="564"/>
        </w:trPr>
        <w:tc>
          <w:tcPr>
            <w:tcW w:w="1129" w:type="dxa"/>
          </w:tcPr>
          <w:p w:rsidR="00E86E6C" w:rsidRDefault="00E86E6C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E86E6C" w:rsidRDefault="00E86E6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E86E6C" w:rsidRDefault="00E86E6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E86E6C" w:rsidRPr="005D72B6" w:rsidRDefault="00E86E6C" w:rsidP="00E86E6C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D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 xml:space="preserve">en </w:t>
            </w:r>
            <w:r w:rsidRPr="005D72B6">
              <w:rPr>
                <w:rFonts w:ascii="Calibri" w:hAnsi="Calibri"/>
                <w:b/>
                <w:i/>
                <w:iCs/>
                <w:sz w:val="20"/>
                <w:szCs w:val="20"/>
              </w:rPr>
              <w:t>Umfang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 xml:space="preserve"> von zusammengesetzten Figuren bestimmen</w:t>
            </w:r>
          </w:p>
        </w:tc>
      </w:tr>
      <w:tr w:rsidR="00E86E6C" w:rsidTr="00F777B0">
        <w:trPr>
          <w:trHeight w:hRule="exact" w:val="862"/>
        </w:trPr>
        <w:tc>
          <w:tcPr>
            <w:tcW w:w="1129" w:type="dxa"/>
          </w:tcPr>
          <w:p w:rsidR="00E86E6C" w:rsidRDefault="00E86E6C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E86E6C" w:rsidRDefault="00E86E6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E86E6C" w:rsidRDefault="00E86E6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E86E6C" w:rsidRDefault="00E86E6C" w:rsidP="00E86E6C">
            <w:pPr>
              <w:contextualSpacing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</w:pPr>
            <w:r w:rsidRPr="00E86E6C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Winkelweiten</w:t>
            </w:r>
            <w:r w:rsidRPr="00E86E6C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unter Verwendung von </w:t>
            </w:r>
            <w:r w:rsidRPr="00E86E6C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Scheitel</w:t>
            </w:r>
            <w:r w:rsidRPr="00E86E6C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- und </w:t>
            </w:r>
            <w:r w:rsidRPr="00E86E6C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Nebenwinkeln</w:t>
            </w:r>
            <w:r w:rsidRPr="00E86E6C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sowie </w:t>
            </w:r>
            <w:r w:rsidRPr="00E86E6C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St</w:t>
            </w:r>
            <w:r w:rsidRPr="00E86E6C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u</w:t>
            </w:r>
            <w:r w:rsidRPr="00E86E6C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fen</w:t>
            </w:r>
            <w:r w:rsidRPr="00E86E6C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- und </w:t>
            </w:r>
            <w:r w:rsidRPr="00E86E6C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Wechselwinkeln</w:t>
            </w:r>
            <w:r w:rsidRPr="00E86E6C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erschließen</w:t>
            </w:r>
          </w:p>
        </w:tc>
      </w:tr>
      <w:tr w:rsidR="00E86E6C" w:rsidTr="00583190">
        <w:trPr>
          <w:trHeight w:hRule="exact" w:val="561"/>
        </w:trPr>
        <w:tc>
          <w:tcPr>
            <w:tcW w:w="1129" w:type="dxa"/>
          </w:tcPr>
          <w:p w:rsidR="00E86E6C" w:rsidRDefault="00E86E6C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E86E6C" w:rsidRDefault="00E86E6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E86E6C" w:rsidRDefault="00E86E6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E86E6C" w:rsidRPr="00E86E6C" w:rsidRDefault="00583190" w:rsidP="00E86E6C">
            <w:pPr>
              <w:contextualSpacing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M</w:t>
            </w:r>
            <w:r w:rsidRPr="00583190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ithilfe des </w:t>
            </w:r>
            <w:r w:rsidRPr="00583190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Satzes des Thales</w:t>
            </w:r>
            <w:r w:rsidRPr="00583190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auf </w:t>
            </w:r>
            <w:proofErr w:type="spellStart"/>
            <w:r w:rsidRPr="00583190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O</w:t>
            </w:r>
            <w:r w:rsidRPr="00583190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r</w:t>
            </w:r>
            <w:r w:rsidRPr="00583190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thogonalität</w:t>
            </w:r>
            <w:proofErr w:type="spellEnd"/>
            <w:r w:rsidRPr="00583190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schließen</w:t>
            </w:r>
          </w:p>
        </w:tc>
      </w:tr>
      <w:tr w:rsidR="00583190" w:rsidTr="00CA254B">
        <w:trPr>
          <w:trHeight w:hRule="exact" w:val="1008"/>
        </w:trPr>
        <w:tc>
          <w:tcPr>
            <w:tcW w:w="1129" w:type="dxa"/>
          </w:tcPr>
          <w:p w:rsidR="00583190" w:rsidRDefault="00583190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583190" w:rsidRDefault="0058319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583190" w:rsidRDefault="0058319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583190" w:rsidRDefault="00CA254B" w:rsidP="00E86E6C">
            <w:pPr>
              <w:contextualSpacing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A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ufgrund von Deckungsgleichheit und durch Vergleich von </w:t>
            </w:r>
            <w:r w:rsidRPr="00CA254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DE"/>
              </w:rPr>
              <w:t>Streckenlängen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und </w:t>
            </w:r>
            <w:r w:rsidRPr="00CA254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DE"/>
              </w:rPr>
              <w:t>Winkelweiten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angeben, ob zwei Figuren </w:t>
            </w:r>
            <w:r w:rsidRPr="00CA254B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kongruent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sind</w:t>
            </w:r>
          </w:p>
        </w:tc>
      </w:tr>
      <w:tr w:rsidR="00CA254B" w:rsidTr="00CA254B">
        <w:trPr>
          <w:trHeight w:hRule="exact" w:val="852"/>
        </w:trPr>
        <w:tc>
          <w:tcPr>
            <w:tcW w:w="1129" w:type="dxa"/>
          </w:tcPr>
          <w:p w:rsidR="00CA254B" w:rsidRDefault="00CA254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CA254B" w:rsidRDefault="00CA254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CA254B" w:rsidRDefault="00CA254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CA254B" w:rsidRPr="00CA254B" w:rsidRDefault="00CA254B" w:rsidP="00E86E6C">
            <w:pPr>
              <w:contextualSpacing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A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ufgrund von </w:t>
            </w:r>
            <w:proofErr w:type="spellStart"/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Gestaltsgleichheit</w:t>
            </w:r>
            <w:proofErr w:type="spellEnd"/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ang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e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ben, ob zwei Figuren einander </w:t>
            </w:r>
            <w:r w:rsidRPr="00CA254B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ähnlich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sind</w:t>
            </w:r>
          </w:p>
        </w:tc>
      </w:tr>
      <w:tr w:rsidR="00CA254B" w:rsidTr="00CA254B">
        <w:trPr>
          <w:trHeight w:hRule="exact" w:val="1012"/>
        </w:trPr>
        <w:tc>
          <w:tcPr>
            <w:tcW w:w="1129" w:type="dxa"/>
          </w:tcPr>
          <w:p w:rsidR="00CA254B" w:rsidRDefault="00CA254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CA254B" w:rsidRDefault="00CA254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CA254B" w:rsidRDefault="00CA254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CA254B" w:rsidRDefault="00CA254B" w:rsidP="00E86E6C">
            <w:pPr>
              <w:contextualSpacing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</w:pPr>
            <w:r w:rsidRPr="00CA254B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Streckenlängen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und </w:t>
            </w:r>
            <w:r w:rsidRPr="00CA254B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Winkelweiten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u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n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ter Nutzung der </w:t>
            </w:r>
            <w:r w:rsidRPr="00CA254B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Ähnlichkeit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von Figuren und der </w:t>
            </w:r>
            <w:r w:rsidRPr="00CA254B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Strahlensätze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bestimmen</w:t>
            </w:r>
          </w:p>
        </w:tc>
      </w:tr>
      <w:tr w:rsidR="00CA254B" w:rsidTr="00CA254B">
        <w:trPr>
          <w:trHeight w:hRule="exact" w:val="842"/>
        </w:trPr>
        <w:tc>
          <w:tcPr>
            <w:tcW w:w="1129" w:type="dxa"/>
          </w:tcPr>
          <w:p w:rsidR="00CA254B" w:rsidRDefault="00CA254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CA254B" w:rsidRDefault="00CA254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CA254B" w:rsidRDefault="00CA254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CA254B" w:rsidRPr="00CA254B" w:rsidRDefault="00CA254B" w:rsidP="00E86E6C">
            <w:pPr>
              <w:contextualSpacing/>
              <w:jc w:val="both"/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B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ei </w:t>
            </w:r>
            <w:r w:rsidRPr="00CA254B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linearen</w:t>
            </w:r>
            <w:r w:rsidRPr="00CA254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CA254B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Zuordnungen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das Änd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e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rungsverhalten im Sachzusammen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-</w:t>
            </w:r>
            <w:r w:rsidRPr="00CA254B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hang beschreiben</w:t>
            </w:r>
          </w:p>
        </w:tc>
      </w:tr>
      <w:tr w:rsidR="00F777B0" w:rsidTr="00F777B0">
        <w:trPr>
          <w:trHeight w:hRule="exact" w:val="553"/>
        </w:trPr>
        <w:tc>
          <w:tcPr>
            <w:tcW w:w="1129" w:type="dxa"/>
          </w:tcPr>
          <w:p w:rsidR="00F777B0" w:rsidRDefault="00F777B0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F777B0" w:rsidRDefault="00F777B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F777B0" w:rsidRDefault="00F777B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F777B0" w:rsidRDefault="00F777B0" w:rsidP="00E86E6C">
            <w:pPr>
              <w:contextualSpacing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D</w:t>
            </w:r>
            <w:r w:rsidRPr="00F777B0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ie Lagebeziehung zweier </w:t>
            </w:r>
            <w:r w:rsidRPr="00F777B0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Geraden</w:t>
            </w:r>
            <w:r w:rsidRPr="00F777B0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anhand ihrer </w:t>
            </w:r>
            <w:r w:rsidRPr="00F777B0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de-DE"/>
              </w:rPr>
              <w:t>Gleichungen</w:t>
            </w:r>
            <w:r w:rsidRPr="00F777B0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 xml:space="preserve"> unters</w:t>
            </w:r>
            <w:r w:rsidRPr="00F777B0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u</w:t>
            </w:r>
            <w:r w:rsidRPr="00F777B0">
              <w:rPr>
                <w:rFonts w:ascii="Calibri" w:eastAsia="Times New Roman" w:hAnsi="Calibri" w:cs="Times New Roman"/>
                <w:iCs/>
                <w:sz w:val="20"/>
                <w:szCs w:val="20"/>
                <w:lang w:eastAsia="de-DE"/>
              </w:rPr>
              <w:t>chen</w:t>
            </w:r>
          </w:p>
        </w:tc>
      </w:tr>
      <w:tr w:rsidR="00F777B0" w:rsidTr="00F777B0">
        <w:trPr>
          <w:trHeight w:hRule="exact" w:val="844"/>
        </w:trPr>
        <w:tc>
          <w:tcPr>
            <w:tcW w:w="1129" w:type="dxa"/>
          </w:tcPr>
          <w:p w:rsidR="00F777B0" w:rsidRDefault="00F777B0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F777B0" w:rsidRDefault="00F777B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F777B0" w:rsidRDefault="00F777B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  <w:vAlign w:val="center"/>
          </w:tcPr>
          <w:p w:rsidR="00F777B0" w:rsidRPr="005D72B6" w:rsidRDefault="00F777B0" w:rsidP="007D3F4F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Q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 xml:space="preserve">uadratische Zusammenhänge durch </w:t>
            </w:r>
            <w:r w:rsidRPr="005D72B6">
              <w:rPr>
                <w:rFonts w:ascii="Calibri" w:hAnsi="Calibri"/>
                <w:b/>
                <w:i/>
                <w:iCs/>
                <w:sz w:val="20"/>
                <w:szCs w:val="20"/>
              </w:rPr>
              <w:t>Tabellen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 xml:space="preserve"> und </w:t>
            </w:r>
            <w:r w:rsidRPr="005D72B6">
              <w:rPr>
                <w:rFonts w:ascii="Calibri" w:hAnsi="Calibri"/>
                <w:b/>
                <w:i/>
                <w:iCs/>
                <w:sz w:val="20"/>
                <w:szCs w:val="20"/>
              </w:rPr>
              <w:t>Gleichungen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 xml:space="preserve"> b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>e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>schreiben und graphisch darstellen</w:t>
            </w:r>
          </w:p>
        </w:tc>
      </w:tr>
      <w:tr w:rsidR="00F777B0" w:rsidTr="00F777B0">
        <w:trPr>
          <w:trHeight w:hRule="exact" w:val="438"/>
        </w:trPr>
        <w:tc>
          <w:tcPr>
            <w:tcW w:w="1129" w:type="dxa"/>
          </w:tcPr>
          <w:p w:rsidR="00F777B0" w:rsidRDefault="00F777B0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F777B0" w:rsidRDefault="00F777B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F777B0" w:rsidRDefault="00F777B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  <w:vAlign w:val="center"/>
          </w:tcPr>
          <w:p w:rsidR="00F777B0" w:rsidRPr="005D72B6" w:rsidRDefault="00F777B0" w:rsidP="007D3F4F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5D72B6">
              <w:rPr>
                <w:rFonts w:ascii="Calibri" w:hAnsi="Calibri"/>
                <w:iCs/>
                <w:sz w:val="20"/>
                <w:szCs w:val="20"/>
              </w:rPr>
              <w:t xml:space="preserve">Eigenschaften von </w:t>
            </w:r>
            <w:r w:rsidRPr="005D72B6">
              <w:rPr>
                <w:rFonts w:ascii="Calibri" w:hAnsi="Calibri"/>
                <w:b/>
                <w:i/>
                <w:iCs/>
                <w:sz w:val="20"/>
                <w:szCs w:val="20"/>
              </w:rPr>
              <w:t>Parabeln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 xml:space="preserve"> ang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>e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>ben</w:t>
            </w:r>
          </w:p>
        </w:tc>
      </w:tr>
      <w:tr w:rsidR="00F777B0" w:rsidTr="00F777B0">
        <w:trPr>
          <w:trHeight w:hRule="exact" w:val="1125"/>
        </w:trPr>
        <w:tc>
          <w:tcPr>
            <w:tcW w:w="1129" w:type="dxa"/>
          </w:tcPr>
          <w:p w:rsidR="00F777B0" w:rsidRDefault="00F777B0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F777B0" w:rsidRDefault="00F777B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F777B0" w:rsidRDefault="00F777B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  <w:vAlign w:val="center"/>
          </w:tcPr>
          <w:p w:rsidR="00F777B0" w:rsidRPr="005D72B6" w:rsidRDefault="00F777B0" w:rsidP="007D3F4F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D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 xml:space="preserve">en </w:t>
            </w:r>
            <w:r w:rsidRPr="005D72B6">
              <w:rPr>
                <w:rFonts w:ascii="Calibri" w:hAnsi="Calibri"/>
                <w:i/>
                <w:iCs/>
                <w:sz w:val="20"/>
                <w:szCs w:val="20"/>
              </w:rPr>
              <w:t>Graphen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 xml:space="preserve"> einer </w:t>
            </w:r>
            <w:r w:rsidRPr="005D72B6">
              <w:rPr>
                <w:rFonts w:ascii="Calibri" w:hAnsi="Calibri"/>
                <w:b/>
                <w:i/>
                <w:iCs/>
                <w:sz w:val="20"/>
                <w:szCs w:val="20"/>
              </w:rPr>
              <w:t>quadratischen</w:t>
            </w:r>
            <w:r w:rsidRPr="005D72B6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5D72B6">
              <w:rPr>
                <w:rFonts w:ascii="Calibri" w:hAnsi="Calibri"/>
                <w:b/>
                <w:i/>
                <w:iCs/>
                <w:sz w:val="20"/>
                <w:szCs w:val="20"/>
              </w:rPr>
              <w:t>Fun</w:t>
            </w:r>
            <w:r w:rsidRPr="005D72B6">
              <w:rPr>
                <w:rFonts w:ascii="Calibri" w:hAnsi="Calibri"/>
                <w:b/>
                <w:i/>
                <w:iCs/>
                <w:sz w:val="20"/>
                <w:szCs w:val="20"/>
              </w:rPr>
              <w:t>k</w:t>
            </w:r>
            <w:r w:rsidRPr="005D72B6">
              <w:rPr>
                <w:rFonts w:ascii="Calibri" w:hAnsi="Calibri"/>
                <w:b/>
                <w:i/>
                <w:iCs/>
                <w:sz w:val="20"/>
                <w:szCs w:val="20"/>
              </w:rPr>
              <w:t>tion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 xml:space="preserve"> mithilfe von </w:t>
            </w:r>
            <w:r w:rsidRPr="005D72B6">
              <w:rPr>
                <w:rFonts w:ascii="Calibri" w:hAnsi="Calibri"/>
                <w:b/>
                <w:i/>
                <w:iCs/>
                <w:sz w:val="20"/>
                <w:szCs w:val="20"/>
              </w:rPr>
              <w:t>Wertetabellen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 xml:space="preserve"> zeic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>h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 xml:space="preserve">nen oder ausgehend von der Lage des </w:t>
            </w:r>
            <w:r w:rsidRPr="005D72B6">
              <w:rPr>
                <w:rFonts w:ascii="Calibri" w:hAnsi="Calibri"/>
                <w:b/>
                <w:i/>
                <w:iCs/>
                <w:sz w:val="20"/>
                <w:szCs w:val="20"/>
              </w:rPr>
              <w:t>Sche</w:t>
            </w:r>
            <w:r w:rsidRPr="005D72B6">
              <w:rPr>
                <w:rFonts w:ascii="Calibri" w:hAnsi="Calibri"/>
                <w:b/>
                <w:i/>
                <w:iCs/>
                <w:sz w:val="20"/>
                <w:szCs w:val="20"/>
              </w:rPr>
              <w:t>i</w:t>
            </w:r>
            <w:r w:rsidRPr="005D72B6">
              <w:rPr>
                <w:rFonts w:ascii="Calibri" w:hAnsi="Calibri"/>
                <w:b/>
                <w:i/>
                <w:iCs/>
                <w:sz w:val="20"/>
                <w:szCs w:val="20"/>
              </w:rPr>
              <w:t>tels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 xml:space="preserve"> skizzieren</w:t>
            </w:r>
          </w:p>
        </w:tc>
      </w:tr>
      <w:tr w:rsidR="00F777B0" w:rsidTr="00F777B0">
        <w:trPr>
          <w:trHeight w:hRule="exact" w:val="1293"/>
        </w:trPr>
        <w:tc>
          <w:tcPr>
            <w:tcW w:w="1129" w:type="dxa"/>
          </w:tcPr>
          <w:p w:rsidR="00F777B0" w:rsidRDefault="00F777B0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F777B0" w:rsidRDefault="00F777B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F777B0" w:rsidRDefault="00F777B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  <w:vAlign w:val="center"/>
          </w:tcPr>
          <w:p w:rsidR="00F777B0" w:rsidRPr="005D72B6" w:rsidRDefault="00F777B0" w:rsidP="007D3F4F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D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 xml:space="preserve">ie Wirkung der Parameter </w:t>
            </w:r>
            <w:r w:rsidRPr="005D72B6">
              <w:rPr>
                <w:rFonts w:ascii="Calibri" w:hAnsi="Calibri"/>
                <w:i/>
                <w:iCs/>
                <w:sz w:val="20"/>
                <w:szCs w:val="20"/>
              </w:rPr>
              <w:t xml:space="preserve">a 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>und</w:t>
            </w:r>
            <w:r w:rsidRPr="005D72B6">
              <w:rPr>
                <w:rFonts w:ascii="Calibri" w:hAnsi="Calibri"/>
                <w:i/>
                <w:iCs/>
                <w:sz w:val="20"/>
                <w:szCs w:val="20"/>
              </w:rPr>
              <w:t xml:space="preserve"> c 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 xml:space="preserve">in der Parabelgleichung  </w:t>
            </w:r>
            <w:r w:rsidRPr="005D72B6">
              <w:rPr>
                <w:rFonts w:ascii="Calibri" w:hAnsi="Calibri"/>
                <w:i/>
                <w:iCs/>
                <w:sz w:val="20"/>
                <w:szCs w:val="20"/>
              </w:rPr>
              <w:t>y = ax</w:t>
            </w:r>
            <w:r w:rsidRPr="005D72B6">
              <w:rPr>
                <w:rFonts w:ascii="Calibri" w:hAnsi="Calibri"/>
                <w:i/>
                <w:iCs/>
                <w:sz w:val="20"/>
                <w:szCs w:val="20"/>
                <w:vertAlign w:val="superscript"/>
              </w:rPr>
              <w:t>2</w:t>
            </w:r>
            <w:r w:rsidRPr="005D72B6">
              <w:rPr>
                <w:rFonts w:ascii="Calibri" w:hAnsi="Calibri"/>
                <w:i/>
                <w:iCs/>
                <w:sz w:val="20"/>
                <w:szCs w:val="20"/>
              </w:rPr>
              <w:t xml:space="preserve"> + c 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 xml:space="preserve">auf den Graphen abbildungsgeometrisch als </w:t>
            </w:r>
            <w:r w:rsidRPr="005D72B6">
              <w:rPr>
                <w:rFonts w:ascii="Calibri" w:hAnsi="Calibri"/>
                <w:b/>
                <w:i/>
                <w:iCs/>
                <w:sz w:val="20"/>
                <w:szCs w:val="20"/>
              </w:rPr>
              <w:t>Streckung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 xml:space="preserve">, </w:t>
            </w:r>
            <w:r w:rsidRPr="005D72B6">
              <w:rPr>
                <w:rFonts w:ascii="Calibri" w:hAnsi="Calibri"/>
                <w:b/>
                <w:i/>
                <w:iCs/>
                <w:sz w:val="20"/>
                <w:szCs w:val="20"/>
              </w:rPr>
              <w:t>Spiegelung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 xml:space="preserve">, </w:t>
            </w:r>
            <w:r w:rsidRPr="005D72B6">
              <w:rPr>
                <w:rFonts w:ascii="Calibri" w:hAnsi="Calibri"/>
                <w:b/>
                <w:i/>
                <w:iCs/>
                <w:sz w:val="20"/>
                <w:szCs w:val="20"/>
              </w:rPr>
              <w:t>Verschiebung</w:t>
            </w:r>
            <w:r w:rsidRPr="005D72B6">
              <w:rPr>
                <w:rFonts w:ascii="Calibri" w:hAnsi="Calibri"/>
                <w:iCs/>
                <w:sz w:val="20"/>
                <w:szCs w:val="20"/>
              </w:rPr>
              <w:t xml:space="preserve"> deuten</w:t>
            </w: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F777B0">
        <w:rPr>
          <w:rFonts w:ascii="Comic Sans MS" w:hAnsi="Comic Sans MS" w:cs="Times New Roman"/>
          <w:szCs w:val="48"/>
        </w:rPr>
        <w:t>Reinhard Müller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F777B0">
        <w:rPr>
          <w:rFonts w:ascii="Comic Sans MS" w:hAnsi="Comic Sans MS" w:cs="Times New Roman"/>
          <w:szCs w:val="48"/>
        </w:rPr>
        <w:t>27.07.2020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6"/>
    <w:rsid w:val="00040E61"/>
    <w:rsid w:val="000B3954"/>
    <w:rsid w:val="001F3E42"/>
    <w:rsid w:val="003B0EA1"/>
    <w:rsid w:val="00463B1A"/>
    <w:rsid w:val="00583190"/>
    <w:rsid w:val="00592CA2"/>
    <w:rsid w:val="005E5EC7"/>
    <w:rsid w:val="00626D62"/>
    <w:rsid w:val="00674B58"/>
    <w:rsid w:val="00712C9A"/>
    <w:rsid w:val="00750EF5"/>
    <w:rsid w:val="008B7928"/>
    <w:rsid w:val="00937E45"/>
    <w:rsid w:val="00AC234C"/>
    <w:rsid w:val="00B95A5D"/>
    <w:rsid w:val="00C87B50"/>
    <w:rsid w:val="00CA254B"/>
    <w:rsid w:val="00D33FB6"/>
    <w:rsid w:val="00D73D3B"/>
    <w:rsid w:val="00DA78CC"/>
    <w:rsid w:val="00DF319D"/>
    <w:rsid w:val="00E4294B"/>
    <w:rsid w:val="00E86E6C"/>
    <w:rsid w:val="00E9077E"/>
    <w:rsid w:val="00E91D89"/>
    <w:rsid w:val="00F777B0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5965-DFAE-4E19-9ABA-DD1F9587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Reinhard Müller</cp:lastModifiedBy>
  <cp:revision>6</cp:revision>
  <cp:lastPrinted>2019-09-20T07:08:00Z</cp:lastPrinted>
  <dcterms:created xsi:type="dcterms:W3CDTF">2020-07-26T07:35:00Z</dcterms:created>
  <dcterms:modified xsi:type="dcterms:W3CDTF">2020-07-26T08:10:00Z</dcterms:modified>
</cp:coreProperties>
</file>